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750" w:rsidRPr="00BF6C6A" w:rsidRDefault="000A4750" w:rsidP="000A4750">
      <w:pPr>
        <w:pStyle w:val="Heading1"/>
        <w:spacing w:line="480" w:lineRule="auto"/>
      </w:pPr>
      <w:r w:rsidRPr="00BF6C6A">
        <w:rPr>
          <w:bCs w:val="0"/>
        </w:rPr>
        <w:t>COMMUNITY AFFAIRS</w:t>
      </w:r>
    </w:p>
    <w:p w:rsidR="000A4750" w:rsidRPr="00BF6C6A" w:rsidRDefault="000A4750" w:rsidP="000A4750">
      <w:pPr>
        <w:spacing w:line="480" w:lineRule="auto"/>
        <w:rPr>
          <w:rFonts w:ascii="Times New Roman" w:hAnsi="Times New Roman"/>
          <w:b/>
        </w:rPr>
      </w:pPr>
      <w:r w:rsidRPr="00BF6C6A">
        <w:rPr>
          <w:rFonts w:ascii="Times New Roman" w:hAnsi="Times New Roman"/>
          <w:b/>
        </w:rPr>
        <w:t>DIVISION OF CODES AND STANDARDS</w:t>
      </w:r>
    </w:p>
    <w:p w:rsidR="00B54C98" w:rsidRDefault="00B54C98" w:rsidP="000A4750">
      <w:pPr>
        <w:spacing w:line="480" w:lineRule="auto"/>
        <w:rPr>
          <w:rFonts w:ascii="Times New Roman" w:hAnsi="Times New Roman"/>
          <w:b/>
        </w:rPr>
      </w:pPr>
      <w:r>
        <w:rPr>
          <w:rFonts w:ascii="Times New Roman" w:hAnsi="Times New Roman"/>
          <w:b/>
        </w:rPr>
        <w:t xml:space="preserve">Uniform Construction </w:t>
      </w:r>
      <w:r w:rsidR="005F5A78">
        <w:rPr>
          <w:rFonts w:ascii="Times New Roman" w:hAnsi="Times New Roman"/>
          <w:b/>
        </w:rPr>
        <w:t>Code</w:t>
      </w:r>
    </w:p>
    <w:p w:rsidR="000A4750" w:rsidRPr="005F5A78" w:rsidRDefault="000A4750" w:rsidP="000A4750">
      <w:pPr>
        <w:spacing w:line="480" w:lineRule="auto"/>
        <w:rPr>
          <w:rFonts w:ascii="Times New Roman" w:hAnsi="Times New Roman"/>
          <w:b/>
        </w:rPr>
      </w:pPr>
      <w:r w:rsidRPr="00BF6C6A">
        <w:rPr>
          <w:rFonts w:ascii="Times New Roman" w:hAnsi="Times New Roman"/>
          <w:b/>
          <w:bCs/>
        </w:rPr>
        <w:t>Fees</w:t>
      </w:r>
    </w:p>
    <w:p w:rsidR="00B54C98" w:rsidRDefault="000A4750" w:rsidP="000A4750">
      <w:pPr>
        <w:spacing w:line="480" w:lineRule="auto"/>
        <w:rPr>
          <w:rFonts w:ascii="Times New Roman" w:hAnsi="Times New Roman"/>
          <w:b/>
        </w:rPr>
      </w:pPr>
      <w:r w:rsidRPr="00BF6C6A">
        <w:rPr>
          <w:rFonts w:ascii="Times New Roman" w:hAnsi="Times New Roman"/>
          <w:b/>
        </w:rPr>
        <w:t>Proposed Amendments: N.J.A.C. 5:23-</w:t>
      </w:r>
      <w:r w:rsidR="00B54C98">
        <w:rPr>
          <w:rFonts w:ascii="Times New Roman" w:hAnsi="Times New Roman"/>
          <w:b/>
        </w:rPr>
        <w:t>4.18 and 4.20</w:t>
      </w:r>
    </w:p>
    <w:p w:rsidR="000A4750" w:rsidRPr="00BF6C6A" w:rsidRDefault="000A4750" w:rsidP="000A4750">
      <w:pPr>
        <w:spacing w:line="480" w:lineRule="auto"/>
        <w:rPr>
          <w:rFonts w:ascii="Times New Roman" w:hAnsi="Times New Roman"/>
        </w:rPr>
      </w:pPr>
      <w:r w:rsidRPr="00BF6C6A">
        <w:rPr>
          <w:rFonts w:ascii="Times New Roman" w:hAnsi="Times New Roman"/>
        </w:rPr>
        <w:t xml:space="preserve">Authorized By: </w:t>
      </w:r>
      <w:r w:rsidR="00B54C98">
        <w:rPr>
          <w:rFonts w:ascii="Times New Roman" w:hAnsi="Times New Roman"/>
        </w:rPr>
        <w:t>Charles A. Richman</w:t>
      </w:r>
      <w:r w:rsidRPr="00BF6C6A">
        <w:rPr>
          <w:rFonts w:ascii="Times New Roman" w:hAnsi="Times New Roman"/>
        </w:rPr>
        <w:t>, Commissioner, Department of Community Affairs.</w:t>
      </w:r>
    </w:p>
    <w:p w:rsidR="00B54C98" w:rsidRDefault="000A4750" w:rsidP="000A4750">
      <w:pPr>
        <w:spacing w:line="480" w:lineRule="auto"/>
        <w:rPr>
          <w:rFonts w:ascii="Times New Roman" w:hAnsi="Times New Roman"/>
        </w:rPr>
      </w:pPr>
      <w:r w:rsidRPr="00BF6C6A">
        <w:rPr>
          <w:rFonts w:ascii="Times New Roman" w:hAnsi="Times New Roman"/>
        </w:rPr>
        <w:t>Authority: N.J.S.A</w:t>
      </w:r>
      <w:r w:rsidR="00F8462A">
        <w:rPr>
          <w:rFonts w:ascii="Times New Roman" w:hAnsi="Times New Roman"/>
        </w:rPr>
        <w:t xml:space="preserve">. 52:27D-124 </w:t>
      </w:r>
    </w:p>
    <w:p w:rsidR="000A4750" w:rsidRPr="00BF6C6A" w:rsidRDefault="000A4750" w:rsidP="000A4750">
      <w:pPr>
        <w:spacing w:line="480" w:lineRule="auto"/>
        <w:rPr>
          <w:rFonts w:ascii="Times New Roman" w:hAnsi="Times New Roman"/>
        </w:rPr>
      </w:pPr>
      <w:r w:rsidRPr="00BF6C6A">
        <w:rPr>
          <w:rFonts w:ascii="Times New Roman" w:hAnsi="Times New Roman"/>
        </w:rPr>
        <w:t>Calendar Reference:  See Summary below for explanation of exception to calendar requirement.</w:t>
      </w:r>
    </w:p>
    <w:p w:rsidR="000A4750" w:rsidRPr="00BF6C6A" w:rsidRDefault="000A4750" w:rsidP="000A4750">
      <w:pPr>
        <w:spacing w:line="480" w:lineRule="auto"/>
        <w:rPr>
          <w:rFonts w:ascii="Times New Roman" w:hAnsi="Times New Roman"/>
        </w:rPr>
      </w:pPr>
      <w:r w:rsidRPr="00BF6C6A">
        <w:rPr>
          <w:rFonts w:ascii="Times New Roman" w:hAnsi="Times New Roman"/>
        </w:rPr>
        <w:t>Proposal Number: PRN 201</w:t>
      </w:r>
      <w:r>
        <w:rPr>
          <w:rFonts w:ascii="Times New Roman" w:hAnsi="Times New Roman"/>
        </w:rPr>
        <w:t xml:space="preserve">5 </w:t>
      </w:r>
      <w:r w:rsidRPr="00BF6C6A">
        <w:rPr>
          <w:rFonts w:ascii="Times New Roman" w:hAnsi="Times New Roman"/>
        </w:rPr>
        <w:t>-</w:t>
      </w:r>
    </w:p>
    <w:p w:rsidR="000A4750" w:rsidRPr="00BF6C6A" w:rsidRDefault="00E37E51" w:rsidP="000A4750">
      <w:pPr>
        <w:spacing w:line="480" w:lineRule="auto"/>
        <w:rPr>
          <w:rFonts w:ascii="Times New Roman" w:hAnsi="Times New Roman"/>
        </w:rPr>
      </w:pPr>
      <w:r>
        <w:rPr>
          <w:rFonts w:ascii="Times New Roman" w:hAnsi="Times New Roman"/>
        </w:rPr>
        <w:tab/>
        <w:t>Submit written comments by January 15, 2016</w:t>
      </w:r>
      <w:bookmarkStart w:id="0" w:name="_GoBack"/>
      <w:bookmarkEnd w:id="0"/>
      <w:r w:rsidR="000A4750" w:rsidRPr="00BF6C6A">
        <w:rPr>
          <w:rFonts w:ascii="Times New Roman" w:hAnsi="Times New Roman"/>
        </w:rPr>
        <w:t>, to:</w:t>
      </w:r>
    </w:p>
    <w:p w:rsidR="000A4750" w:rsidRPr="00BF6C6A" w:rsidRDefault="000A4750" w:rsidP="000A4750">
      <w:pPr>
        <w:rPr>
          <w:rFonts w:ascii="Times New Roman" w:hAnsi="Times New Roman"/>
        </w:rPr>
      </w:pPr>
      <w:r w:rsidRPr="00BF6C6A">
        <w:rPr>
          <w:rFonts w:ascii="Times New Roman" w:hAnsi="Times New Roman"/>
        </w:rPr>
        <w:tab/>
        <w:t>Gabrielle N. Gallagher</w:t>
      </w:r>
    </w:p>
    <w:p w:rsidR="000A4750" w:rsidRPr="00BF6C6A" w:rsidRDefault="000A4750" w:rsidP="000A4750">
      <w:pPr>
        <w:rPr>
          <w:rFonts w:ascii="Times New Roman" w:hAnsi="Times New Roman"/>
        </w:rPr>
      </w:pPr>
      <w:r w:rsidRPr="00BF6C6A">
        <w:rPr>
          <w:rFonts w:ascii="Times New Roman" w:hAnsi="Times New Roman"/>
        </w:rPr>
        <w:tab/>
        <w:t>Department of Community Affairs</w:t>
      </w:r>
    </w:p>
    <w:p w:rsidR="000A4750" w:rsidRPr="00BF6C6A" w:rsidRDefault="000A4750" w:rsidP="000A4750">
      <w:pPr>
        <w:rPr>
          <w:rFonts w:ascii="Times New Roman" w:hAnsi="Times New Roman"/>
        </w:rPr>
      </w:pPr>
      <w:r w:rsidRPr="00BF6C6A">
        <w:rPr>
          <w:rFonts w:ascii="Times New Roman" w:hAnsi="Times New Roman"/>
        </w:rPr>
        <w:tab/>
        <w:t>PO Box 800</w:t>
      </w:r>
    </w:p>
    <w:p w:rsidR="000A4750" w:rsidRPr="00BF6C6A" w:rsidRDefault="000A4750" w:rsidP="000A4750">
      <w:pPr>
        <w:rPr>
          <w:rFonts w:ascii="Times New Roman" w:hAnsi="Times New Roman"/>
        </w:rPr>
      </w:pPr>
      <w:r w:rsidRPr="00BF6C6A">
        <w:rPr>
          <w:rFonts w:ascii="Times New Roman" w:hAnsi="Times New Roman"/>
        </w:rPr>
        <w:tab/>
        <w:t>Trenton, New Jersey 08625-0800</w:t>
      </w:r>
    </w:p>
    <w:p w:rsidR="000A4750" w:rsidRPr="00BF6C6A" w:rsidRDefault="000A4750" w:rsidP="000A4750">
      <w:pPr>
        <w:ind w:firstLine="720"/>
        <w:rPr>
          <w:rFonts w:ascii="Times New Roman" w:hAnsi="Times New Roman"/>
        </w:rPr>
      </w:pPr>
      <w:r w:rsidRPr="00BF6C6A">
        <w:rPr>
          <w:rFonts w:ascii="Times New Roman" w:hAnsi="Times New Roman"/>
        </w:rPr>
        <w:t>Fax No. (609) 984-6696</w:t>
      </w:r>
    </w:p>
    <w:p w:rsidR="000A4750" w:rsidRPr="00BF6C6A" w:rsidRDefault="000A4750" w:rsidP="000A4750">
      <w:pPr>
        <w:ind w:firstLine="720"/>
        <w:rPr>
          <w:rFonts w:ascii="Times New Roman" w:hAnsi="Times New Roman"/>
        </w:rPr>
      </w:pPr>
      <w:r w:rsidRPr="00BF6C6A">
        <w:rPr>
          <w:rFonts w:ascii="Times New Roman" w:hAnsi="Times New Roman"/>
        </w:rPr>
        <w:t xml:space="preserve">Email:  </w:t>
      </w:r>
      <w:r w:rsidRPr="00BF6C6A">
        <w:rPr>
          <w:rFonts w:ascii="Times New Roman" w:hAnsi="Times New Roman"/>
          <w:u w:val="single"/>
        </w:rPr>
        <w:t>Gabrielle.Gallagher@dca.</w:t>
      </w:r>
      <w:r>
        <w:rPr>
          <w:rFonts w:ascii="Times New Roman" w:hAnsi="Times New Roman"/>
          <w:u w:val="single"/>
        </w:rPr>
        <w:t>nj.gov</w:t>
      </w:r>
    </w:p>
    <w:p w:rsidR="000A4750" w:rsidRPr="00BF6C6A" w:rsidRDefault="000A4750" w:rsidP="000A4750">
      <w:pPr>
        <w:spacing w:line="480" w:lineRule="auto"/>
        <w:rPr>
          <w:rFonts w:ascii="Times New Roman" w:hAnsi="Times New Roman"/>
        </w:rPr>
      </w:pPr>
      <w:r w:rsidRPr="00BF6C6A">
        <w:rPr>
          <w:rFonts w:ascii="Times New Roman" w:hAnsi="Times New Roman"/>
        </w:rPr>
        <w:t> </w:t>
      </w:r>
    </w:p>
    <w:p w:rsidR="000A4750" w:rsidRDefault="000A4750" w:rsidP="000A4750">
      <w:pPr>
        <w:spacing w:line="480" w:lineRule="auto"/>
        <w:rPr>
          <w:rFonts w:ascii="Times New Roman" w:hAnsi="Times New Roman"/>
        </w:rPr>
      </w:pPr>
    </w:p>
    <w:p w:rsidR="000A4750" w:rsidRPr="0033536D" w:rsidRDefault="000A4750" w:rsidP="000A4750">
      <w:pPr>
        <w:ind w:left="4320"/>
        <w:rPr>
          <w:rFonts w:ascii="Times New Roman" w:hAnsi="Times New Roman"/>
          <w:b/>
        </w:rPr>
      </w:pPr>
      <w:r w:rsidRPr="0033536D">
        <w:rPr>
          <w:rFonts w:ascii="Times New Roman" w:hAnsi="Times New Roman"/>
        </w:rPr>
        <w:t>_________________________________________</w:t>
      </w:r>
    </w:p>
    <w:p w:rsidR="000A4750" w:rsidRPr="0033536D" w:rsidRDefault="000A4750" w:rsidP="000A4750">
      <w:pPr>
        <w:ind w:left="3600"/>
        <w:rPr>
          <w:rFonts w:ascii="Times New Roman" w:hAnsi="Times New Roman"/>
          <w:b/>
        </w:rPr>
      </w:pPr>
      <w:r w:rsidRPr="0033536D">
        <w:rPr>
          <w:rFonts w:ascii="Times New Roman" w:hAnsi="Times New Roman"/>
          <w:b/>
        </w:rPr>
        <w:t xml:space="preserve">       </w:t>
      </w:r>
      <w:r w:rsidRPr="0033536D">
        <w:rPr>
          <w:rFonts w:ascii="Times New Roman" w:hAnsi="Times New Roman"/>
          <w:b/>
        </w:rPr>
        <w:tab/>
      </w:r>
      <w:r w:rsidR="00B54C98">
        <w:rPr>
          <w:rFonts w:ascii="Times New Roman" w:hAnsi="Times New Roman"/>
          <w:b/>
        </w:rPr>
        <w:t>CHARLES A. RICHMAN</w:t>
      </w:r>
      <w:r w:rsidRPr="0033536D">
        <w:rPr>
          <w:rFonts w:ascii="Times New Roman" w:hAnsi="Times New Roman"/>
          <w:b/>
        </w:rPr>
        <w:t xml:space="preserve"> </w:t>
      </w:r>
      <w:r w:rsidRPr="0033536D">
        <w:rPr>
          <w:rFonts w:ascii="Times New Roman" w:hAnsi="Times New Roman"/>
          <w:b/>
        </w:rPr>
        <w:tab/>
      </w:r>
      <w:r w:rsidRPr="0033536D">
        <w:rPr>
          <w:rFonts w:ascii="Times New Roman" w:hAnsi="Times New Roman"/>
          <w:b/>
        </w:rPr>
        <w:tab/>
      </w:r>
    </w:p>
    <w:p w:rsidR="000A4750" w:rsidRPr="0033536D" w:rsidRDefault="000A4750" w:rsidP="000A4750">
      <w:pPr>
        <w:ind w:left="3600"/>
        <w:rPr>
          <w:rFonts w:ascii="Times New Roman" w:hAnsi="Times New Roman"/>
        </w:rPr>
      </w:pPr>
      <w:r w:rsidRPr="0033536D">
        <w:rPr>
          <w:rFonts w:ascii="Times New Roman" w:hAnsi="Times New Roman"/>
          <w:b/>
        </w:rPr>
        <w:t xml:space="preserve"> </w:t>
      </w:r>
      <w:r w:rsidRPr="0033536D">
        <w:rPr>
          <w:rFonts w:ascii="Times New Roman" w:hAnsi="Times New Roman"/>
          <w:b/>
        </w:rPr>
        <w:tab/>
        <w:t xml:space="preserve"> Commissioner </w:t>
      </w:r>
    </w:p>
    <w:p w:rsidR="000A4750" w:rsidRDefault="000A4750" w:rsidP="000A4750">
      <w:pPr>
        <w:spacing w:line="480" w:lineRule="auto"/>
        <w:rPr>
          <w:rFonts w:ascii="Times New Roman" w:hAnsi="Times New Roman"/>
        </w:rPr>
      </w:pPr>
    </w:p>
    <w:p w:rsidR="000A4750" w:rsidRDefault="000A4750" w:rsidP="000A4750">
      <w:pPr>
        <w:spacing w:line="480" w:lineRule="auto"/>
        <w:rPr>
          <w:rFonts w:ascii="Times New Roman" w:hAnsi="Times New Roman"/>
        </w:rPr>
      </w:pPr>
    </w:p>
    <w:p w:rsidR="000A4750" w:rsidRPr="00BF6C6A" w:rsidRDefault="000A4750" w:rsidP="000A4750">
      <w:pPr>
        <w:spacing w:line="480" w:lineRule="auto"/>
        <w:rPr>
          <w:rFonts w:ascii="Times New Roman" w:hAnsi="Times New Roman"/>
        </w:rPr>
      </w:pPr>
      <w:r w:rsidRPr="00BF6C6A">
        <w:rPr>
          <w:rFonts w:ascii="Times New Roman" w:hAnsi="Times New Roman"/>
        </w:rPr>
        <w:t>The agency proposal follows:</w:t>
      </w:r>
    </w:p>
    <w:p w:rsidR="000A4750" w:rsidRPr="00BF6C6A" w:rsidRDefault="000A4750" w:rsidP="000A4750">
      <w:pPr>
        <w:pStyle w:val="Heading2"/>
        <w:rPr>
          <w:bCs w:val="0"/>
        </w:rPr>
      </w:pPr>
    </w:p>
    <w:p w:rsidR="000A4750" w:rsidRPr="00BF6C6A" w:rsidRDefault="000A4750" w:rsidP="000A4750">
      <w:pPr>
        <w:pStyle w:val="Heading2"/>
      </w:pPr>
      <w:r w:rsidRPr="00BF6C6A">
        <w:rPr>
          <w:bCs w:val="0"/>
        </w:rPr>
        <w:t>Summary</w:t>
      </w:r>
    </w:p>
    <w:p w:rsidR="007F76A5" w:rsidRPr="003C02FA" w:rsidRDefault="007F76A5" w:rsidP="003C02FA">
      <w:pPr>
        <w:widowControl w:val="0"/>
        <w:tabs>
          <w:tab w:val="left" w:pos="-1440"/>
        </w:tabs>
        <w:autoSpaceDE w:val="0"/>
        <w:autoSpaceDN w:val="0"/>
        <w:adjustRightInd w:val="0"/>
        <w:spacing w:line="480" w:lineRule="auto"/>
        <w:jc w:val="both"/>
        <w:rPr>
          <w:rFonts w:ascii="Times New Roman" w:eastAsia="Times New Roman" w:hAnsi="Times New Roman"/>
        </w:rPr>
      </w:pPr>
      <w:r>
        <w:rPr>
          <w:rFonts w:ascii="Times New Roman" w:eastAsia="Times New Roman" w:hAnsi="Times New Roman"/>
        </w:rPr>
        <w:tab/>
        <w:t xml:space="preserve">Under the Uniform Construction Code Act and regulations, enforcing agency fees are to be set to cover the cost of code enforcement.  In general, the rules in place for municipal and </w:t>
      </w:r>
      <w:r>
        <w:rPr>
          <w:rFonts w:ascii="Times New Roman" w:eastAsia="Times New Roman" w:hAnsi="Times New Roman"/>
        </w:rPr>
        <w:lastRenderedPageBreak/>
        <w:t>Departmental fees accomplish this.  However, there remains an outlier in the fees generated for large open-volume buildings.  The calculation of a fee based on volume for these structures tends to generate a fee that is excessive as compared to the enforcement effort required</w:t>
      </w:r>
      <w:r w:rsidR="003C02FA">
        <w:rPr>
          <w:rFonts w:ascii="Times New Roman" w:eastAsia="Times New Roman" w:hAnsi="Times New Roman"/>
        </w:rPr>
        <w:t xml:space="preserve">.  </w:t>
      </w:r>
      <w:r>
        <w:rPr>
          <w:rFonts w:ascii="Times New Roman" w:eastAsia="Times New Roman" w:hAnsi="Times New Roman"/>
        </w:rPr>
        <w:t xml:space="preserve">The proposed amendments are intended to address this by capping the height at 20 feet for purposes of calculating the volume upon which the fee is based.  </w:t>
      </w:r>
      <w:r w:rsidRPr="007F76A5">
        <w:rPr>
          <w:rFonts w:ascii="Times New Roman" w:hAnsi="Times New Roman"/>
        </w:rPr>
        <w:t xml:space="preserve">This will reduce the fee to reflect more accurately the associated work for the construction code enforcing agency.  </w:t>
      </w:r>
    </w:p>
    <w:p w:rsidR="000A4750" w:rsidRPr="00BF6C6A" w:rsidRDefault="000A4750" w:rsidP="000A4750">
      <w:pPr>
        <w:spacing w:line="480" w:lineRule="auto"/>
        <w:jc w:val="both"/>
        <w:rPr>
          <w:rFonts w:ascii="Times New Roman" w:hAnsi="Times New Roman"/>
        </w:rPr>
      </w:pPr>
      <w:r w:rsidRPr="00BF6C6A">
        <w:rPr>
          <w:rFonts w:ascii="Times New Roman" w:hAnsi="Times New Roman"/>
        </w:rPr>
        <w:tab/>
        <w:t>As the Department has provided a 60-day comment period on this notice of proposal, this notice is excepted from the rulemaking calendar requirement, pursuant to N.J.A.C. 1:30-3.3(a)5.</w:t>
      </w:r>
    </w:p>
    <w:p w:rsidR="000A4750" w:rsidRPr="00BF6C6A" w:rsidRDefault="000A4750" w:rsidP="000A4750">
      <w:pPr>
        <w:spacing w:line="480" w:lineRule="auto"/>
        <w:jc w:val="center"/>
        <w:rPr>
          <w:rFonts w:ascii="Times New Roman" w:hAnsi="Times New Roman"/>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Social Impact</w:t>
      </w:r>
    </w:p>
    <w:p w:rsidR="000A4750" w:rsidRPr="00BF6C6A" w:rsidRDefault="000A4750" w:rsidP="000A4750">
      <w:pPr>
        <w:spacing w:line="480" w:lineRule="auto"/>
        <w:jc w:val="both"/>
        <w:rPr>
          <w:rFonts w:ascii="Times New Roman" w:hAnsi="Times New Roman"/>
          <w:b/>
          <w:bCs/>
        </w:rPr>
      </w:pPr>
      <w:r w:rsidRPr="00BF6C6A">
        <w:rPr>
          <w:rFonts w:ascii="Times New Roman" w:hAnsi="Times New Roman"/>
          <w:i/>
        </w:rPr>
        <w:tab/>
      </w:r>
      <w:r w:rsidR="003C02FA">
        <w:rPr>
          <w:rFonts w:ascii="Times New Roman" w:hAnsi="Times New Roman"/>
        </w:rPr>
        <w:t>It is anticipated that t</w:t>
      </w:r>
      <w:r w:rsidRPr="00BF6C6A">
        <w:rPr>
          <w:rFonts w:ascii="Times New Roman" w:hAnsi="Times New Roman"/>
        </w:rPr>
        <w:t xml:space="preserve">he proposed </w:t>
      </w:r>
      <w:r w:rsidR="003C02FA">
        <w:rPr>
          <w:rFonts w:ascii="Times New Roman" w:hAnsi="Times New Roman"/>
        </w:rPr>
        <w:t xml:space="preserve">amendments will have a positive social impact in that public health and safety will be maintained while the fees charged for large, open volume buildings will better reflect the cost of code enforcement. </w:t>
      </w:r>
    </w:p>
    <w:p w:rsidR="000A4750" w:rsidRPr="00BF6C6A" w:rsidRDefault="000A4750" w:rsidP="000A4750">
      <w:pPr>
        <w:spacing w:line="480" w:lineRule="auto"/>
        <w:jc w:val="center"/>
        <w:rPr>
          <w:rFonts w:ascii="Times New Roman" w:hAnsi="Times New Roman"/>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Economic Impact</w:t>
      </w:r>
    </w:p>
    <w:p w:rsidR="000A4750" w:rsidRPr="00BF6C6A" w:rsidRDefault="000A4750" w:rsidP="000A4750">
      <w:pPr>
        <w:spacing w:line="480" w:lineRule="auto"/>
        <w:jc w:val="both"/>
        <w:rPr>
          <w:rFonts w:ascii="Times New Roman" w:hAnsi="Times New Roman"/>
        </w:rPr>
      </w:pPr>
      <w:r w:rsidRPr="00BF6C6A">
        <w:rPr>
          <w:rFonts w:ascii="Times New Roman" w:hAnsi="Times New Roman"/>
          <w:i/>
        </w:rPr>
        <w:tab/>
      </w:r>
      <w:r w:rsidRPr="00BF6C6A">
        <w:rPr>
          <w:rFonts w:ascii="Times New Roman" w:hAnsi="Times New Roman"/>
        </w:rPr>
        <w:t>The proposed amendments</w:t>
      </w:r>
      <w:r w:rsidR="003C02FA">
        <w:rPr>
          <w:rFonts w:ascii="Times New Roman" w:hAnsi="Times New Roman"/>
        </w:rPr>
        <w:t xml:space="preserve"> will have a positive economic impact in that they will reduce the fees for large, open-volume buildings to reflect more accurately the cost of code enforcement for these projects.</w:t>
      </w:r>
    </w:p>
    <w:p w:rsidR="000A4750" w:rsidRPr="00BF6C6A" w:rsidRDefault="000A4750" w:rsidP="000A4750">
      <w:pPr>
        <w:spacing w:line="480" w:lineRule="auto"/>
        <w:jc w:val="center"/>
        <w:rPr>
          <w:rFonts w:ascii="Times New Roman" w:hAnsi="Times New Roman"/>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Federal Standards Statement</w:t>
      </w:r>
    </w:p>
    <w:p w:rsidR="000A4750" w:rsidRPr="00BF6C6A" w:rsidRDefault="000A4750" w:rsidP="000A4750">
      <w:pPr>
        <w:pStyle w:val="BodyText"/>
      </w:pPr>
      <w:r w:rsidRPr="00BF6C6A">
        <w:rPr>
          <w:i/>
        </w:rPr>
        <w:tab/>
      </w:r>
      <w:r w:rsidRPr="00BF6C6A">
        <w:t xml:space="preserve">No Federal standards analysis is required because the amendments are not being proposed under the authority of, or in order to implement, comply with, or participate in any </w:t>
      </w:r>
      <w:r w:rsidRPr="00BF6C6A">
        <w:lastRenderedPageBreak/>
        <w:t>program established under Federal law or a State statute that incorporates or refers to Federal law, standards, or requirements.</w:t>
      </w:r>
    </w:p>
    <w:p w:rsidR="000A4750" w:rsidRPr="00BF6C6A" w:rsidRDefault="000A4750" w:rsidP="000A4750">
      <w:pPr>
        <w:spacing w:line="480" w:lineRule="auto"/>
        <w:jc w:val="center"/>
        <w:rPr>
          <w:rFonts w:ascii="Times New Roman" w:hAnsi="Times New Roman"/>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Jobs Impact</w:t>
      </w:r>
    </w:p>
    <w:p w:rsidR="000A4750" w:rsidRDefault="000A4750" w:rsidP="000A4750">
      <w:pPr>
        <w:pStyle w:val="BodyText"/>
      </w:pPr>
      <w:r w:rsidRPr="00BF6C6A">
        <w:rPr>
          <w:i/>
        </w:rPr>
        <w:tab/>
      </w:r>
      <w:r w:rsidRPr="00BF6C6A">
        <w:t xml:space="preserve">The Department does not anticipate either the creation or loss of any jobs as a result of the proposed amendments.  </w:t>
      </w:r>
    </w:p>
    <w:p w:rsidR="000A4750" w:rsidRPr="00BF6C6A" w:rsidRDefault="000A4750" w:rsidP="000A4750">
      <w:pPr>
        <w:pStyle w:val="BodyText"/>
        <w:rPr>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Agriculture Industry Impact</w:t>
      </w:r>
    </w:p>
    <w:p w:rsidR="000A4750" w:rsidRPr="00BF6C6A" w:rsidRDefault="000A4750" w:rsidP="000A4750">
      <w:pPr>
        <w:pStyle w:val="BodyText"/>
      </w:pPr>
      <w:r w:rsidRPr="00BF6C6A">
        <w:rPr>
          <w:i/>
        </w:rPr>
        <w:tab/>
      </w:r>
      <w:r w:rsidRPr="00BF6C6A">
        <w:t xml:space="preserve">The </w:t>
      </w:r>
      <w:r>
        <w:t>proposed amendments would have</w:t>
      </w:r>
      <w:r w:rsidRPr="00BF6C6A">
        <w:t xml:space="preserve"> </w:t>
      </w:r>
      <w:r w:rsidR="00B668D8">
        <w:t xml:space="preserve">a positive </w:t>
      </w:r>
      <w:r w:rsidRPr="00BF6C6A">
        <w:t>impact upon the agricultural industry</w:t>
      </w:r>
      <w:r w:rsidR="00B668D8">
        <w:t xml:space="preserve"> in that they would limit permit fees for the construction of barns, silos and other large, open-volume buildings</w:t>
      </w:r>
      <w:r>
        <w:t>.</w:t>
      </w:r>
    </w:p>
    <w:p w:rsidR="000A4750" w:rsidRPr="00BF6C6A" w:rsidRDefault="000A4750" w:rsidP="000A4750">
      <w:pPr>
        <w:spacing w:line="480" w:lineRule="auto"/>
        <w:jc w:val="center"/>
        <w:rPr>
          <w:rFonts w:ascii="Times New Roman" w:hAnsi="Times New Roman"/>
          <w:b/>
          <w:bCs/>
        </w:rPr>
      </w:pPr>
    </w:p>
    <w:p w:rsidR="000A4750" w:rsidRPr="00BF6C6A" w:rsidRDefault="000A4750" w:rsidP="000A4750">
      <w:pPr>
        <w:spacing w:line="480" w:lineRule="auto"/>
        <w:jc w:val="center"/>
        <w:rPr>
          <w:rFonts w:ascii="Times New Roman" w:hAnsi="Times New Roman"/>
          <w:b/>
          <w:bCs/>
        </w:rPr>
      </w:pPr>
      <w:r w:rsidRPr="00BF6C6A">
        <w:rPr>
          <w:rFonts w:ascii="Times New Roman" w:hAnsi="Times New Roman"/>
          <w:b/>
          <w:bCs/>
        </w:rPr>
        <w:t>Regulatory Flexibility Analysis</w:t>
      </w:r>
    </w:p>
    <w:p w:rsidR="000A4750" w:rsidRPr="00BF6C6A" w:rsidRDefault="000A4750" w:rsidP="000A4750">
      <w:pPr>
        <w:pStyle w:val="BodyText"/>
      </w:pPr>
      <w:r w:rsidRPr="00BF6C6A">
        <w:rPr>
          <w:i/>
        </w:rPr>
        <w:tab/>
      </w:r>
      <w:r w:rsidRPr="00BF6C6A">
        <w:t xml:space="preserve">The proposed amendments do not place any reporting or recordkeeping burden upon “small businesses,” as defined in the New Jersey Regulatory Flexibility Act, N.J.S.A. 52:14B-16 et seq.  </w:t>
      </w:r>
      <w:r w:rsidR="00B668D8">
        <w:t>There are no p</w:t>
      </w:r>
      <w:r w:rsidRPr="00BF6C6A">
        <w:t xml:space="preserve">rofessional services </w:t>
      </w:r>
      <w:r w:rsidR="00B668D8">
        <w:t>required as a result</w:t>
      </w:r>
      <w:r w:rsidRPr="00BF6C6A">
        <w:t xml:space="preserve"> the proposed amendments.  The </w:t>
      </w:r>
      <w:r w:rsidR="00B668D8">
        <w:t xml:space="preserve">proposed amendments would have a positive impact on small businesses undertaking the construction of large, open-volume structures as </w:t>
      </w:r>
      <w:r w:rsidR="003C02FA">
        <w:t>the fees charged will be reduced to better reflect the cost of code enforcement for these projects.</w:t>
      </w:r>
    </w:p>
    <w:p w:rsidR="000A4750" w:rsidRPr="00BF6C6A" w:rsidRDefault="000A4750" w:rsidP="000A4750">
      <w:pPr>
        <w:pStyle w:val="BodyText"/>
        <w:jc w:val="center"/>
        <w:rPr>
          <w:b/>
          <w:bCs/>
        </w:rPr>
      </w:pPr>
    </w:p>
    <w:p w:rsidR="000A4750" w:rsidRPr="00BF6C6A" w:rsidRDefault="000A4750" w:rsidP="000A4750">
      <w:pPr>
        <w:pStyle w:val="BodyText"/>
        <w:jc w:val="center"/>
        <w:rPr>
          <w:b/>
        </w:rPr>
      </w:pPr>
      <w:r w:rsidRPr="00BF6C6A">
        <w:rPr>
          <w:b/>
        </w:rPr>
        <w:t>Housing Affordability Impact Analysis</w:t>
      </w:r>
    </w:p>
    <w:p w:rsidR="000A4750" w:rsidRDefault="000A4750" w:rsidP="000A4750">
      <w:pPr>
        <w:pStyle w:val="BodyText"/>
        <w:rPr>
          <w:bCs/>
          <w:spacing w:val="4"/>
        </w:rPr>
      </w:pPr>
      <w:r w:rsidRPr="00BF6C6A">
        <w:tab/>
        <w:t xml:space="preserve">The </w:t>
      </w:r>
      <w:r w:rsidRPr="00BF6C6A">
        <w:rPr>
          <w:bCs/>
          <w:spacing w:val="4"/>
        </w:rPr>
        <w:t xml:space="preserve">proposed amendments would not </w:t>
      </w:r>
      <w:r w:rsidR="003C02FA">
        <w:rPr>
          <w:bCs/>
          <w:spacing w:val="4"/>
        </w:rPr>
        <w:t>have any</w:t>
      </w:r>
      <w:r w:rsidRPr="00BF6C6A">
        <w:rPr>
          <w:bCs/>
          <w:spacing w:val="4"/>
        </w:rPr>
        <w:t xml:space="preserve"> impact </w:t>
      </w:r>
      <w:r w:rsidR="003C02FA">
        <w:rPr>
          <w:bCs/>
          <w:spacing w:val="4"/>
        </w:rPr>
        <w:t>on the cost of</w:t>
      </w:r>
      <w:r w:rsidRPr="00BF6C6A">
        <w:rPr>
          <w:bCs/>
          <w:spacing w:val="4"/>
        </w:rPr>
        <w:t xml:space="preserve"> housing.  </w:t>
      </w:r>
    </w:p>
    <w:p w:rsidR="000A4750" w:rsidRPr="00BF6C6A" w:rsidRDefault="000A4750" w:rsidP="000A4750">
      <w:pPr>
        <w:pStyle w:val="BodyText"/>
        <w:rPr>
          <w:b/>
          <w:bCs/>
        </w:rPr>
      </w:pPr>
    </w:p>
    <w:p w:rsidR="000A4750" w:rsidRPr="00BF6C6A" w:rsidRDefault="000A4750" w:rsidP="000A4750">
      <w:pPr>
        <w:pStyle w:val="BodyText"/>
        <w:jc w:val="center"/>
        <w:rPr>
          <w:b/>
          <w:bCs/>
        </w:rPr>
      </w:pPr>
      <w:r w:rsidRPr="00BF6C6A">
        <w:rPr>
          <w:b/>
          <w:bCs/>
        </w:rPr>
        <w:lastRenderedPageBreak/>
        <w:t>Smart Growth Development Impact Analysis</w:t>
      </w:r>
    </w:p>
    <w:p w:rsidR="000A4750" w:rsidRDefault="000A4750" w:rsidP="000A4750">
      <w:pPr>
        <w:pStyle w:val="BodyText"/>
        <w:rPr>
          <w:bCs/>
          <w:spacing w:val="4"/>
        </w:rPr>
      </w:pPr>
      <w:r w:rsidRPr="00BF6C6A">
        <w:tab/>
        <w:t xml:space="preserve">Adoption of the proposed amendments </w:t>
      </w:r>
      <w:r w:rsidRPr="00BF6C6A">
        <w:rPr>
          <w:bCs/>
          <w:spacing w:val="4"/>
        </w:rPr>
        <w:t xml:space="preserve">would not impose any impact on smart growth and </w:t>
      </w:r>
      <w:r>
        <w:rPr>
          <w:bCs/>
          <w:spacing w:val="4"/>
        </w:rPr>
        <w:t>it is not anticipated</w:t>
      </w:r>
      <w:r w:rsidRPr="00BF6C6A">
        <w:rPr>
          <w:bCs/>
          <w:spacing w:val="4"/>
        </w:rPr>
        <w:t xml:space="preserve"> that such would evoke a change in housing production within Planning Areas 1 and 2, or within designated centers, under the State Development and Redevelopment Plan</w:t>
      </w:r>
      <w:r>
        <w:rPr>
          <w:bCs/>
          <w:spacing w:val="4"/>
        </w:rPr>
        <w:t>.</w:t>
      </w:r>
    </w:p>
    <w:p w:rsidR="003C02FA" w:rsidRDefault="003C02FA" w:rsidP="000A4750">
      <w:pPr>
        <w:pStyle w:val="BodyText"/>
        <w:rPr>
          <w:bCs/>
          <w:spacing w:val="4"/>
        </w:rPr>
      </w:pPr>
    </w:p>
    <w:p w:rsidR="000A4750" w:rsidRPr="00BF6C6A" w:rsidRDefault="000A4750" w:rsidP="000A4750">
      <w:pPr>
        <w:spacing w:line="480" w:lineRule="auto"/>
        <w:ind w:firstLine="720"/>
        <w:jc w:val="both"/>
        <w:rPr>
          <w:rFonts w:ascii="Times New Roman" w:hAnsi="Times New Roman"/>
        </w:rPr>
      </w:pPr>
      <w:r w:rsidRPr="00BF6C6A">
        <w:rPr>
          <w:rFonts w:ascii="Times New Roman" w:hAnsi="Times New Roman"/>
          <w:b/>
          <w:bCs/>
        </w:rPr>
        <w:t>Full text</w:t>
      </w:r>
      <w:r w:rsidRPr="00BF6C6A">
        <w:rPr>
          <w:rFonts w:ascii="Times New Roman" w:hAnsi="Times New Roman"/>
        </w:rPr>
        <w:t xml:space="preserve"> of the proposal follows (additions indicated in boldface </w:t>
      </w:r>
      <w:r w:rsidRPr="00BF6C6A">
        <w:rPr>
          <w:rFonts w:ascii="Times New Roman" w:hAnsi="Times New Roman"/>
          <w:b/>
          <w:bCs/>
        </w:rPr>
        <w:t>thus</w:t>
      </w:r>
      <w:r w:rsidRPr="00BF6C6A">
        <w:rPr>
          <w:rFonts w:ascii="Times New Roman" w:hAnsi="Times New Roman"/>
        </w:rPr>
        <w:t>; deletions indicated in brackets [thus]):</w:t>
      </w:r>
    </w:p>
    <w:p w:rsidR="003C02FA" w:rsidRDefault="003C02FA" w:rsidP="00A54C29">
      <w:pPr>
        <w:spacing w:after="200" w:line="480" w:lineRule="auto"/>
        <w:jc w:val="both"/>
        <w:rPr>
          <w:rFonts w:ascii="Times New Roman" w:eastAsiaTheme="minorHAnsi" w:hAnsi="Times New Roman"/>
        </w:rPr>
      </w:pP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5:23-4.18 Standards for municipal fees</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 – (b)</w:t>
      </w:r>
      <w:r w:rsidR="000A4750">
        <w:rPr>
          <w:rFonts w:ascii="Times New Roman" w:eastAsiaTheme="minorHAnsi" w:hAnsi="Times New Roman"/>
        </w:rPr>
        <w:t xml:space="preserve"> </w:t>
      </w:r>
      <w:r w:rsidRPr="00314551">
        <w:rPr>
          <w:rFonts w:ascii="Times New Roman" w:eastAsiaTheme="minorHAnsi" w:hAnsi="Times New Roman"/>
        </w:rPr>
        <w:t xml:space="preserve"> (No change.)</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(c) Basic construction fee: The basic construction fee shall be computed on the basis of the volume of the building or, in the case of alterations, the estimated construction cost, and the number and types of plumbing, electrical and fire protection fixtures and devices as herein provided.</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ab/>
        <w:t>1. Fees for new construction or alterations shall be as follows:</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ab/>
      </w:r>
      <w:r w:rsidRPr="00314551">
        <w:rPr>
          <w:rFonts w:ascii="Times New Roman" w:eastAsiaTheme="minorEastAsia" w:hAnsi="Times New Roman"/>
        </w:rPr>
        <w:tab/>
        <w:t xml:space="preserve">i. – v.  (No change.)  </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ab/>
      </w:r>
      <w:r w:rsidRPr="00314551">
        <w:rPr>
          <w:rFonts w:ascii="Times New Roman" w:eastAsiaTheme="minorEastAsia" w:hAnsi="Times New Roman"/>
        </w:rPr>
        <w:tab/>
        <w:t xml:space="preserve">v. The unit rates may vary for different occupancy groups or structures of different sizes within the same occupancy group. </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ab/>
      </w:r>
      <w:r w:rsidRPr="00314551">
        <w:rPr>
          <w:rFonts w:ascii="Times New Roman" w:eastAsiaTheme="minorEastAsia" w:hAnsi="Times New Roman"/>
        </w:rPr>
        <w:tab/>
      </w:r>
      <w:r w:rsidRPr="00314551">
        <w:rPr>
          <w:rFonts w:ascii="Times New Roman" w:eastAsiaTheme="minorEastAsia" w:hAnsi="Times New Roman"/>
          <w:b/>
        </w:rPr>
        <w:t xml:space="preserve">vi. </w:t>
      </w:r>
      <w:r w:rsidRPr="00314551">
        <w:rPr>
          <w:rFonts w:ascii="Times New Roman" w:eastAsiaTheme="minorEastAsia" w:hAnsi="Times New Roman"/>
        </w:rPr>
        <w:t xml:space="preserve">The unit rate for large, open-volume, </w:t>
      </w:r>
      <w:r w:rsidRPr="00314551">
        <w:rPr>
          <w:rFonts w:ascii="Times New Roman" w:eastAsiaTheme="minorEastAsia" w:hAnsi="Times New Roman"/>
          <w:b/>
        </w:rPr>
        <w:t xml:space="preserve">single story spaces in </w:t>
      </w:r>
      <w:r w:rsidRPr="00314551">
        <w:rPr>
          <w:rFonts w:ascii="Times New Roman" w:eastAsiaTheme="minorEastAsia" w:hAnsi="Times New Roman"/>
        </w:rPr>
        <w:t xml:space="preserve">buildings, such as barns, silos, greenhouses, warehouses, distribution </w:t>
      </w:r>
      <w:r w:rsidR="00314551" w:rsidRPr="00314551">
        <w:rPr>
          <w:rFonts w:ascii="Times New Roman" w:eastAsiaTheme="minorEastAsia" w:hAnsi="Times New Roman"/>
        </w:rPr>
        <w:t>centers, and other agricultural</w:t>
      </w:r>
      <w:r w:rsidR="009345D6">
        <w:rPr>
          <w:rFonts w:ascii="Times New Roman" w:eastAsiaTheme="minorEastAsia" w:hAnsi="Times New Roman"/>
        </w:rPr>
        <w:t>, [recreational,]</w:t>
      </w:r>
      <w:r w:rsidRPr="00314551">
        <w:rPr>
          <w:rFonts w:ascii="Times New Roman" w:eastAsiaTheme="minorEastAsia" w:hAnsi="Times New Roman"/>
        </w:rPr>
        <w:t xml:space="preserve"> and storage-use </w:t>
      </w:r>
      <w:r w:rsidR="009345D6">
        <w:rPr>
          <w:rFonts w:ascii="Times New Roman" w:eastAsiaTheme="minorEastAsia" w:hAnsi="Times New Roman"/>
        </w:rPr>
        <w:t xml:space="preserve">[buildings] </w:t>
      </w:r>
      <w:r w:rsidRPr="00314551">
        <w:rPr>
          <w:rFonts w:ascii="Times New Roman" w:eastAsiaTheme="minorEastAsia" w:hAnsi="Times New Roman"/>
          <w:b/>
        </w:rPr>
        <w:t>occupancies</w:t>
      </w:r>
      <w:r w:rsidRPr="00314551">
        <w:rPr>
          <w:rFonts w:ascii="Times New Roman" w:eastAsiaTheme="minorEastAsia" w:hAnsi="Times New Roman"/>
        </w:rPr>
        <w:t xml:space="preserve">, shall be less than the unit rate for other types of </w:t>
      </w:r>
      <w:r w:rsidRPr="00314551">
        <w:rPr>
          <w:rFonts w:ascii="Times New Roman" w:eastAsiaTheme="minorEastAsia" w:hAnsi="Times New Roman"/>
        </w:rPr>
        <w:lastRenderedPageBreak/>
        <w:t>buildings and occupancy classifications. This shall be clearly indicated in the ordinance and schedule;</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b/>
        </w:rPr>
      </w:pPr>
      <w:r w:rsidRPr="00314551">
        <w:rPr>
          <w:rFonts w:ascii="Times New Roman" w:eastAsiaTheme="minorEastAsia" w:hAnsi="Times New Roman"/>
        </w:rPr>
        <w:tab/>
      </w:r>
      <w:r w:rsidRPr="00314551">
        <w:rPr>
          <w:rFonts w:ascii="Times New Roman" w:eastAsiaTheme="minorEastAsia" w:hAnsi="Times New Roman"/>
        </w:rPr>
        <w:tab/>
      </w:r>
      <w:r w:rsidRPr="00314551">
        <w:rPr>
          <w:rFonts w:ascii="Times New Roman" w:eastAsiaTheme="minorEastAsia" w:hAnsi="Times New Roman"/>
        </w:rPr>
        <w:tab/>
      </w:r>
      <w:r w:rsidRPr="00314551">
        <w:rPr>
          <w:rFonts w:ascii="Times New Roman" w:eastAsiaTheme="minorEastAsia" w:hAnsi="Times New Roman"/>
          <w:b/>
        </w:rPr>
        <w:t xml:space="preserve">(1) For the purpose of applying this regulation, “large” shall be defined as a Class 1 building as per N.J.A.C. 5:23-4.3A(d)3.  </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b/>
        </w:rPr>
      </w:pPr>
      <w:r w:rsidRPr="00314551">
        <w:rPr>
          <w:rFonts w:ascii="Times New Roman" w:eastAsiaTheme="minorEastAsia" w:hAnsi="Times New Roman"/>
        </w:rPr>
        <w:tab/>
      </w:r>
      <w:r w:rsidRPr="00314551">
        <w:rPr>
          <w:rFonts w:ascii="Times New Roman" w:eastAsiaTheme="minorEastAsia" w:hAnsi="Times New Roman"/>
        </w:rPr>
        <w:tab/>
      </w:r>
      <w:r w:rsidRPr="00314551">
        <w:rPr>
          <w:rFonts w:ascii="Times New Roman" w:eastAsiaTheme="minorEastAsia" w:hAnsi="Times New Roman"/>
        </w:rPr>
        <w:tab/>
      </w:r>
      <w:r w:rsidRPr="00314551">
        <w:rPr>
          <w:rFonts w:ascii="Times New Roman" w:eastAsiaTheme="minorEastAsia" w:hAnsi="Times New Roman"/>
          <w:b/>
        </w:rPr>
        <w:t xml:space="preserve">(2) For the purpose of calculating the volume to determine the fee for these spaces, the height shall be limited to 20 feet notwithstanding the fact that the actual height of the space may be greater than 20 feet. </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rPr>
      </w:pPr>
      <w:r w:rsidRPr="00314551">
        <w:rPr>
          <w:rFonts w:ascii="Times New Roman" w:eastAsiaTheme="minorEastAsia" w:hAnsi="Times New Roman"/>
        </w:rPr>
        <w:tab/>
      </w:r>
      <w:r w:rsidRPr="00314551">
        <w:rPr>
          <w:rFonts w:ascii="Times New Roman" w:eastAsiaTheme="minorEastAsia" w:hAnsi="Times New Roman"/>
        </w:rPr>
        <w:tab/>
        <w:t>Renumber vi. – ix. as vii. – x.  (No change in text.)</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 xml:space="preserve"> </w:t>
      </w:r>
      <w:r w:rsidRPr="00314551">
        <w:rPr>
          <w:rFonts w:ascii="Times New Roman" w:eastAsiaTheme="minorHAnsi" w:hAnsi="Times New Roman"/>
        </w:rPr>
        <w:tab/>
        <w:t>2. – 6. (No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(d) – (l) (No change.)</w:t>
      </w:r>
    </w:p>
    <w:p w:rsidR="003C02FA" w:rsidRDefault="003C02FA" w:rsidP="00A54C29">
      <w:pPr>
        <w:spacing w:after="200" w:line="480" w:lineRule="auto"/>
        <w:jc w:val="both"/>
        <w:rPr>
          <w:rFonts w:ascii="Times New Roman" w:eastAsiaTheme="minorHAnsi" w:hAnsi="Times New Roman"/>
        </w:rPr>
      </w:pP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5:23-4.20 Department fees</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 xml:space="preserve">(a) – (b) </w:t>
      </w:r>
      <w:r w:rsidR="00314551">
        <w:rPr>
          <w:rFonts w:ascii="Times New Roman" w:eastAsiaTheme="minorHAnsi" w:hAnsi="Times New Roman"/>
        </w:rPr>
        <w:t xml:space="preserve"> </w:t>
      </w:r>
      <w:r w:rsidRPr="00314551">
        <w:rPr>
          <w:rFonts w:ascii="Times New Roman" w:eastAsiaTheme="minorHAnsi" w:hAnsi="Times New Roman"/>
        </w:rPr>
        <w:t>(No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(c) Departmental (enforcing agency) fees shall be as follows:</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t>1. (No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t>2. The basic construction permit fee shall be the sum of the parts computed on the basis of the volume or cost of construction, the number of plumbing fixtures and pieces of equipment, the number of electrical fixtures and rating of electrical devices, the number of sprinklers, standpipes, and detectors (smoke and heat) at the unit rates, and/or the applicable flat fees as provided in this subchapter plus any special fees.</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lastRenderedPageBreak/>
        <w:tab/>
      </w:r>
      <w:r w:rsidRPr="00314551">
        <w:rPr>
          <w:rFonts w:ascii="Times New Roman" w:eastAsiaTheme="minorHAnsi" w:hAnsi="Times New Roman"/>
        </w:rPr>
        <w:tab/>
        <w:t>i. Building volume or cost: The fees for new construction or alteration are as follows:</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rPr>
        <w:tab/>
        <w:t xml:space="preserve">(1) Fees for new construction shall be based upon the volume of the structure. Volume shall be computed in accordance with </w:t>
      </w:r>
      <w:r w:rsidR="00314551" w:rsidRPr="00314551">
        <w:rPr>
          <w:rFonts w:ascii="Times New Roman" w:eastAsiaTheme="minorHAnsi" w:hAnsi="Times New Roman"/>
          <w:i/>
        </w:rPr>
        <w:t>N</w:t>
      </w:r>
      <w:r w:rsidRPr="00314551">
        <w:rPr>
          <w:rFonts w:ascii="Times New Roman" w:eastAsiaTheme="minorHAnsi" w:hAnsi="Times New Roman"/>
          <w:i/>
          <w:iCs/>
        </w:rPr>
        <w:t>.J.A.C. 5:23-2.28</w:t>
      </w:r>
      <w:r w:rsidRPr="00314551">
        <w:rPr>
          <w:rFonts w:ascii="Times New Roman" w:eastAsiaTheme="minorHAnsi" w:hAnsi="Times New Roman"/>
        </w:rPr>
        <w:t xml:space="preserve">. The new construction fee shall be in the amount of $ 0.038 per cubic foot of volume for buildings and structures of all [use] groups and types of construction as classified and defined in [articles] </w:t>
      </w:r>
      <w:r w:rsidRPr="00314551">
        <w:rPr>
          <w:rFonts w:ascii="Times New Roman" w:eastAsiaTheme="minorHAnsi" w:hAnsi="Times New Roman"/>
          <w:b/>
        </w:rPr>
        <w:t>Chapters</w:t>
      </w:r>
      <w:r w:rsidRPr="00314551">
        <w:rPr>
          <w:rFonts w:ascii="Times New Roman" w:eastAsiaTheme="minorHAnsi" w:hAnsi="Times New Roman"/>
        </w:rPr>
        <w:t xml:space="preserve"> 3 and 6, respectively, of the building subcode; [except that the]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b/>
        </w:rPr>
        <w:t>(2) The</w:t>
      </w:r>
      <w:r w:rsidRPr="00314551">
        <w:rPr>
          <w:rFonts w:ascii="Times New Roman" w:eastAsiaTheme="minorHAnsi" w:hAnsi="Times New Roman"/>
        </w:rPr>
        <w:t xml:space="preserve"> fee shall be $ 0.021 per cubic foot of volume for [use] groups A-1, A-2, A-3, A-4, A-5, F-1, F-2, S-1, and S-2, and the fee shall be $ 0.0011 per cubic foot for structures on farms, including commercial farm buildings under </w:t>
      </w:r>
      <w:r w:rsidRPr="00314551">
        <w:rPr>
          <w:rFonts w:ascii="Times New Roman" w:eastAsiaTheme="minorHAnsi" w:hAnsi="Times New Roman"/>
          <w:i/>
          <w:iCs/>
        </w:rPr>
        <w:t>N.J.A.C. 5:23-3.2(d)</w:t>
      </w:r>
      <w:r w:rsidRPr="00314551">
        <w:rPr>
          <w:rFonts w:ascii="Times New Roman" w:eastAsiaTheme="minorHAnsi" w:hAnsi="Times New Roman"/>
        </w:rPr>
        <w:t>, with the maximum fee for such structures on farms not to exceed $ 1,602.</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b/>
        </w:rPr>
      </w:pP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b/>
        </w:rPr>
        <w:t xml:space="preserve">(A) </w:t>
      </w:r>
      <w:r w:rsidRPr="00314551">
        <w:rPr>
          <w:rFonts w:ascii="Times New Roman" w:eastAsiaTheme="minorEastAsia" w:hAnsi="Times New Roman"/>
          <w:b/>
        </w:rPr>
        <w:t>For purposes of calculating the volume to determine the fee for large, open-volume, single story spaces in</w:t>
      </w:r>
      <w:r w:rsidRPr="00314551">
        <w:rPr>
          <w:rFonts w:ascii="Times New Roman" w:eastAsiaTheme="minorEastAsia" w:hAnsi="Times New Roman"/>
        </w:rPr>
        <w:t xml:space="preserve"> </w:t>
      </w:r>
      <w:r w:rsidR="00314551" w:rsidRPr="00314551">
        <w:rPr>
          <w:rFonts w:ascii="Times New Roman" w:eastAsiaTheme="minorEastAsia" w:hAnsi="Times New Roman"/>
          <w:b/>
        </w:rPr>
        <w:t>buildings</w:t>
      </w:r>
      <w:r w:rsidRPr="00314551">
        <w:rPr>
          <w:rFonts w:ascii="Times New Roman" w:eastAsiaTheme="minorEastAsia" w:hAnsi="Times New Roman"/>
          <w:b/>
        </w:rPr>
        <w:t>,</w:t>
      </w:r>
      <w:r w:rsidRPr="00314551">
        <w:rPr>
          <w:rFonts w:ascii="Times New Roman" w:eastAsiaTheme="minorEastAsia" w:hAnsi="Times New Roman"/>
        </w:rPr>
        <w:t xml:space="preserve"> </w:t>
      </w:r>
      <w:r w:rsidRPr="00314551">
        <w:rPr>
          <w:rFonts w:ascii="Times New Roman" w:eastAsiaTheme="minorEastAsia" w:hAnsi="Times New Roman"/>
          <w:b/>
        </w:rPr>
        <w:t>such as barns, silos, greenhouses, warehouses, distribution c</w:t>
      </w:r>
      <w:r w:rsidR="00314551" w:rsidRPr="00314551">
        <w:rPr>
          <w:rFonts w:ascii="Times New Roman" w:eastAsiaTheme="minorEastAsia" w:hAnsi="Times New Roman"/>
          <w:b/>
        </w:rPr>
        <w:t xml:space="preserve">enters, and other agricultural </w:t>
      </w:r>
      <w:r w:rsidRPr="00314551">
        <w:rPr>
          <w:rFonts w:ascii="Times New Roman" w:eastAsiaTheme="minorEastAsia" w:hAnsi="Times New Roman"/>
          <w:b/>
        </w:rPr>
        <w:t xml:space="preserve">and storage-use occupancies, the height shall be limited to 20 feet notwithstanding the fact that the actual height of the space may be greater than 20 feet. </w:t>
      </w:r>
    </w:p>
    <w:p w:rsidR="00A54C29" w:rsidRPr="00314551" w:rsidRDefault="00A54C29" w:rsidP="00A54C29">
      <w:pPr>
        <w:autoSpaceDE w:val="0"/>
        <w:autoSpaceDN w:val="0"/>
        <w:adjustRightInd w:val="0"/>
        <w:spacing w:before="120" w:line="480" w:lineRule="auto"/>
        <w:jc w:val="both"/>
        <w:rPr>
          <w:rFonts w:ascii="Times New Roman" w:eastAsiaTheme="minorEastAsia" w:hAnsi="Times New Roman"/>
          <w:b/>
        </w:rPr>
      </w:pPr>
      <w:r w:rsidRPr="00314551">
        <w:rPr>
          <w:rFonts w:ascii="Times New Roman" w:eastAsiaTheme="minorEastAsia" w:hAnsi="Times New Roman"/>
          <w:b/>
        </w:rPr>
        <w:tab/>
      </w:r>
      <w:r w:rsidRPr="00314551">
        <w:rPr>
          <w:rFonts w:ascii="Times New Roman" w:eastAsiaTheme="minorEastAsia" w:hAnsi="Times New Roman"/>
          <w:b/>
        </w:rPr>
        <w:tab/>
      </w:r>
      <w:r w:rsidRPr="00314551">
        <w:rPr>
          <w:rFonts w:ascii="Times New Roman" w:eastAsiaTheme="minorEastAsia" w:hAnsi="Times New Roman"/>
          <w:b/>
        </w:rPr>
        <w:tab/>
      </w:r>
      <w:r w:rsidRPr="00314551">
        <w:rPr>
          <w:rFonts w:ascii="Times New Roman" w:eastAsiaTheme="minorEastAsia" w:hAnsi="Times New Roman"/>
          <w:b/>
        </w:rPr>
        <w:tab/>
        <w:t xml:space="preserve">(B) For the purpose of applying this regulation, “large” shall be defined as a Class 1 building as per N.J.A.C. 5:23-4.3A(d)3.  </w:t>
      </w:r>
    </w:p>
    <w:p w:rsidR="00A54C29" w:rsidRPr="00314551" w:rsidRDefault="00A54C29" w:rsidP="00A54C29">
      <w:pPr>
        <w:autoSpaceDE w:val="0"/>
        <w:autoSpaceDN w:val="0"/>
        <w:adjustRightInd w:val="0"/>
        <w:spacing w:before="120" w:line="480" w:lineRule="auto"/>
        <w:jc w:val="both"/>
        <w:rPr>
          <w:rFonts w:ascii="Times New Roman" w:eastAsiaTheme="minorHAnsi" w:hAnsi="Times New Roman"/>
        </w:rPr>
      </w:pPr>
      <w:r w:rsidRPr="00314551">
        <w:rPr>
          <w:rFonts w:ascii="Times New Roman" w:eastAsiaTheme="minorHAnsi" w:hAnsi="Times New Roman"/>
        </w:rPr>
        <w:tab/>
      </w:r>
      <w:r w:rsidRPr="00314551">
        <w:rPr>
          <w:rFonts w:ascii="Times New Roman" w:eastAsiaTheme="minorHAnsi" w:hAnsi="Times New Roman"/>
        </w:rPr>
        <w:tab/>
      </w:r>
      <w:r w:rsidRPr="00314551">
        <w:rPr>
          <w:rFonts w:ascii="Times New Roman" w:eastAsiaTheme="minorHAnsi" w:hAnsi="Times New Roman"/>
        </w:rPr>
        <w:tab/>
        <w:t>(2) – (8) (No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r>
      <w:r w:rsidRPr="00314551">
        <w:rPr>
          <w:rFonts w:ascii="Times New Roman" w:eastAsiaTheme="minorHAnsi" w:hAnsi="Times New Roman"/>
        </w:rPr>
        <w:tab/>
        <w:t>ii. - iv. (No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tab/>
        <w:t>3. – 10. (No change.)</w:t>
      </w:r>
    </w:p>
    <w:p w:rsidR="00A54C29" w:rsidRPr="00314551" w:rsidRDefault="00A54C29" w:rsidP="00A54C29">
      <w:pPr>
        <w:spacing w:after="200" w:line="480" w:lineRule="auto"/>
        <w:jc w:val="both"/>
        <w:rPr>
          <w:rFonts w:ascii="Times New Roman" w:eastAsiaTheme="minorHAnsi" w:hAnsi="Times New Roman"/>
        </w:rPr>
      </w:pPr>
      <w:r w:rsidRPr="00314551">
        <w:rPr>
          <w:rFonts w:ascii="Times New Roman" w:eastAsiaTheme="minorHAnsi" w:hAnsi="Times New Roman"/>
        </w:rPr>
        <w:lastRenderedPageBreak/>
        <w:t>(d) – (e) (No change.)</w:t>
      </w:r>
    </w:p>
    <w:p w:rsidR="00381DD2" w:rsidRPr="00314551" w:rsidRDefault="00381DD2"/>
    <w:sectPr w:rsidR="00381DD2" w:rsidRPr="00314551" w:rsidSect="0073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EBA" w:rsidRDefault="00C07EBA" w:rsidP="00C07EBA">
      <w:r>
        <w:separator/>
      </w:r>
    </w:p>
  </w:endnote>
  <w:endnote w:type="continuationSeparator" w:id="0">
    <w:p w:rsidR="00C07EBA" w:rsidRDefault="00C07EBA" w:rsidP="00C07E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184636"/>
      <w:docPartObj>
        <w:docPartGallery w:val="Page Numbers (Bottom of Page)"/>
        <w:docPartUnique/>
      </w:docPartObj>
    </w:sdtPr>
    <w:sdtEndPr>
      <w:rPr>
        <w:noProof/>
      </w:rPr>
    </w:sdtEndPr>
    <w:sdtContent>
      <w:p w:rsidR="00C07EBA" w:rsidRDefault="00734328">
        <w:pPr>
          <w:pStyle w:val="Footer"/>
          <w:jc w:val="center"/>
        </w:pPr>
        <w:r>
          <w:fldChar w:fldCharType="begin"/>
        </w:r>
        <w:r w:rsidR="00C07EBA">
          <w:instrText xml:space="preserve"> PAGE   \* MERGEFORMAT </w:instrText>
        </w:r>
        <w:r>
          <w:fldChar w:fldCharType="separate"/>
        </w:r>
        <w:r w:rsidR="00AE4EC8">
          <w:rPr>
            <w:noProof/>
          </w:rPr>
          <w:t>7</w:t>
        </w:r>
        <w:r>
          <w:rPr>
            <w:noProof/>
          </w:rPr>
          <w:fldChar w:fldCharType="end"/>
        </w:r>
      </w:p>
    </w:sdtContent>
  </w:sdt>
  <w:p w:rsidR="00C07EBA" w:rsidRDefault="00C07E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EBA" w:rsidRDefault="00C07EBA" w:rsidP="00C07EBA">
      <w:r>
        <w:separator/>
      </w:r>
    </w:p>
  </w:footnote>
  <w:footnote w:type="continuationSeparator" w:id="0">
    <w:p w:rsidR="00C07EBA" w:rsidRDefault="00C07EBA" w:rsidP="00C07E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13BA7"/>
    <w:multiLevelType w:val="hybridMultilevel"/>
    <w:tmpl w:val="0B425352"/>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285C16E3"/>
    <w:multiLevelType w:val="hybridMultilevel"/>
    <w:tmpl w:val="71B0CB3C"/>
    <w:lvl w:ilvl="0" w:tplc="13748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A54C29"/>
    <w:rsid w:val="000A4750"/>
    <w:rsid w:val="000C0C57"/>
    <w:rsid w:val="00314551"/>
    <w:rsid w:val="00381DD2"/>
    <w:rsid w:val="003C02FA"/>
    <w:rsid w:val="005F5A78"/>
    <w:rsid w:val="00734328"/>
    <w:rsid w:val="007F76A5"/>
    <w:rsid w:val="009345D6"/>
    <w:rsid w:val="00A54C29"/>
    <w:rsid w:val="00AE4EC8"/>
    <w:rsid w:val="00B54C98"/>
    <w:rsid w:val="00B668D8"/>
    <w:rsid w:val="00C07EBA"/>
    <w:rsid w:val="00E37E51"/>
    <w:rsid w:val="00F84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9"/>
    <w:pPr>
      <w:spacing w:after="0" w:line="240" w:lineRule="auto"/>
    </w:pPr>
    <w:rPr>
      <w:rFonts w:ascii="Calibri" w:eastAsia="Calibri" w:hAnsi="Calibri"/>
    </w:rPr>
  </w:style>
  <w:style w:type="paragraph" w:styleId="Heading1">
    <w:name w:val="heading 1"/>
    <w:basedOn w:val="Normal"/>
    <w:next w:val="Normal"/>
    <w:link w:val="Heading1Char"/>
    <w:qFormat/>
    <w:rsid w:val="000A4750"/>
    <w:pPr>
      <w:keepNext/>
      <w:outlineLvl w:val="0"/>
    </w:pPr>
    <w:rPr>
      <w:rFonts w:ascii="Times New Roman" w:eastAsia="Arial Unicode MS" w:hAnsi="Times New Roman"/>
      <w:b/>
      <w:bCs/>
    </w:rPr>
  </w:style>
  <w:style w:type="paragraph" w:styleId="Heading2">
    <w:name w:val="heading 2"/>
    <w:basedOn w:val="Normal"/>
    <w:next w:val="Normal"/>
    <w:link w:val="Heading2Char"/>
    <w:qFormat/>
    <w:rsid w:val="000A4750"/>
    <w:pPr>
      <w:keepNext/>
      <w:spacing w:line="480" w:lineRule="auto"/>
      <w:jc w:val="center"/>
      <w:outlineLvl w:val="1"/>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750"/>
    <w:rPr>
      <w:rFonts w:eastAsia="Arial Unicode MS"/>
      <w:b/>
      <w:bCs/>
    </w:rPr>
  </w:style>
  <w:style w:type="character" w:customStyle="1" w:styleId="Heading2Char">
    <w:name w:val="Heading 2 Char"/>
    <w:basedOn w:val="DefaultParagraphFont"/>
    <w:link w:val="Heading2"/>
    <w:rsid w:val="000A4750"/>
    <w:rPr>
      <w:rFonts w:eastAsia="Arial Unicode MS"/>
      <w:b/>
      <w:bCs/>
    </w:rPr>
  </w:style>
  <w:style w:type="paragraph" w:styleId="ListParagraph">
    <w:name w:val="List Paragraph"/>
    <w:basedOn w:val="Normal"/>
    <w:uiPriority w:val="34"/>
    <w:qFormat/>
    <w:rsid w:val="000A4750"/>
    <w:pPr>
      <w:ind w:left="720"/>
      <w:contextualSpacing/>
    </w:pPr>
    <w:rPr>
      <w:rFonts w:eastAsiaTheme="minorHAnsi"/>
      <w:sz w:val="22"/>
      <w:szCs w:val="22"/>
    </w:rPr>
  </w:style>
  <w:style w:type="paragraph" w:styleId="BodyText">
    <w:name w:val="Body Text"/>
    <w:basedOn w:val="Normal"/>
    <w:link w:val="BodyTextChar"/>
    <w:rsid w:val="000A4750"/>
    <w:pPr>
      <w:spacing w:line="480" w:lineRule="auto"/>
      <w:jc w:val="both"/>
    </w:pPr>
    <w:rPr>
      <w:rFonts w:ascii="Times New Roman" w:eastAsia="Times New Roman" w:hAnsi="Times New Roman"/>
    </w:rPr>
  </w:style>
  <w:style w:type="character" w:customStyle="1" w:styleId="BodyTextChar">
    <w:name w:val="Body Text Char"/>
    <w:basedOn w:val="DefaultParagraphFont"/>
    <w:link w:val="BodyText"/>
    <w:rsid w:val="000A4750"/>
    <w:rPr>
      <w:rFonts w:eastAsia="Times New Roman"/>
    </w:rPr>
  </w:style>
  <w:style w:type="paragraph" w:styleId="Header">
    <w:name w:val="header"/>
    <w:basedOn w:val="Normal"/>
    <w:link w:val="HeaderChar"/>
    <w:uiPriority w:val="99"/>
    <w:unhideWhenUsed/>
    <w:rsid w:val="00C07EBA"/>
    <w:pPr>
      <w:tabs>
        <w:tab w:val="center" w:pos="4680"/>
        <w:tab w:val="right" w:pos="9360"/>
      </w:tabs>
    </w:pPr>
  </w:style>
  <w:style w:type="character" w:customStyle="1" w:styleId="HeaderChar">
    <w:name w:val="Header Char"/>
    <w:basedOn w:val="DefaultParagraphFont"/>
    <w:link w:val="Header"/>
    <w:uiPriority w:val="99"/>
    <w:rsid w:val="00C07EBA"/>
    <w:rPr>
      <w:rFonts w:ascii="Calibri" w:eastAsia="Calibri" w:hAnsi="Calibri"/>
    </w:rPr>
  </w:style>
  <w:style w:type="paragraph" w:styleId="Footer">
    <w:name w:val="footer"/>
    <w:basedOn w:val="Normal"/>
    <w:link w:val="FooterChar"/>
    <w:uiPriority w:val="99"/>
    <w:unhideWhenUsed/>
    <w:rsid w:val="00C07EBA"/>
    <w:pPr>
      <w:tabs>
        <w:tab w:val="center" w:pos="4680"/>
        <w:tab w:val="right" w:pos="9360"/>
      </w:tabs>
    </w:pPr>
  </w:style>
  <w:style w:type="character" w:customStyle="1" w:styleId="FooterChar">
    <w:name w:val="Footer Char"/>
    <w:basedOn w:val="DefaultParagraphFont"/>
    <w:link w:val="Footer"/>
    <w:uiPriority w:val="99"/>
    <w:rsid w:val="00C07EBA"/>
    <w:rPr>
      <w:rFonts w:ascii="Calibri" w:eastAsia="Calibri" w:hAnsi="Calibri"/>
    </w:rPr>
  </w:style>
  <w:style w:type="paragraph" w:styleId="BalloonText">
    <w:name w:val="Balloon Text"/>
    <w:basedOn w:val="Normal"/>
    <w:link w:val="BalloonTextChar"/>
    <w:uiPriority w:val="99"/>
    <w:semiHidden/>
    <w:unhideWhenUsed/>
    <w:rsid w:val="00C07EBA"/>
    <w:rPr>
      <w:rFonts w:ascii="Tahoma" w:hAnsi="Tahoma" w:cs="Tahoma"/>
      <w:sz w:val="16"/>
      <w:szCs w:val="16"/>
    </w:rPr>
  </w:style>
  <w:style w:type="character" w:customStyle="1" w:styleId="BalloonTextChar">
    <w:name w:val="Balloon Text Char"/>
    <w:basedOn w:val="DefaultParagraphFont"/>
    <w:link w:val="BalloonText"/>
    <w:uiPriority w:val="99"/>
    <w:semiHidden/>
    <w:rsid w:val="00C07E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C29"/>
    <w:pPr>
      <w:spacing w:after="0" w:line="240" w:lineRule="auto"/>
    </w:pPr>
    <w:rPr>
      <w:rFonts w:ascii="Calibri" w:eastAsia="Calibri" w:hAnsi="Calibri"/>
    </w:rPr>
  </w:style>
  <w:style w:type="paragraph" w:styleId="Heading1">
    <w:name w:val="heading 1"/>
    <w:basedOn w:val="Normal"/>
    <w:next w:val="Normal"/>
    <w:link w:val="Heading1Char"/>
    <w:qFormat/>
    <w:rsid w:val="000A4750"/>
    <w:pPr>
      <w:keepNext/>
      <w:outlineLvl w:val="0"/>
    </w:pPr>
    <w:rPr>
      <w:rFonts w:ascii="Times New Roman" w:eastAsia="Arial Unicode MS" w:hAnsi="Times New Roman"/>
      <w:b/>
      <w:bCs/>
    </w:rPr>
  </w:style>
  <w:style w:type="paragraph" w:styleId="Heading2">
    <w:name w:val="heading 2"/>
    <w:basedOn w:val="Normal"/>
    <w:next w:val="Normal"/>
    <w:link w:val="Heading2Char"/>
    <w:qFormat/>
    <w:rsid w:val="000A4750"/>
    <w:pPr>
      <w:keepNext/>
      <w:spacing w:line="480" w:lineRule="auto"/>
      <w:jc w:val="center"/>
      <w:outlineLvl w:val="1"/>
    </w:pPr>
    <w:rPr>
      <w:rFonts w:ascii="Times New Roman" w:eastAsia="Arial Unicode MS"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4750"/>
    <w:rPr>
      <w:rFonts w:eastAsia="Arial Unicode MS"/>
      <w:b/>
      <w:bCs/>
    </w:rPr>
  </w:style>
  <w:style w:type="character" w:customStyle="1" w:styleId="Heading2Char">
    <w:name w:val="Heading 2 Char"/>
    <w:basedOn w:val="DefaultParagraphFont"/>
    <w:link w:val="Heading2"/>
    <w:rsid w:val="000A4750"/>
    <w:rPr>
      <w:rFonts w:eastAsia="Arial Unicode MS"/>
      <w:b/>
      <w:bCs/>
    </w:rPr>
  </w:style>
  <w:style w:type="paragraph" w:styleId="ListParagraph">
    <w:name w:val="List Paragraph"/>
    <w:basedOn w:val="Normal"/>
    <w:uiPriority w:val="34"/>
    <w:qFormat/>
    <w:rsid w:val="000A4750"/>
    <w:pPr>
      <w:ind w:left="720"/>
      <w:contextualSpacing/>
    </w:pPr>
    <w:rPr>
      <w:rFonts w:eastAsiaTheme="minorHAnsi"/>
      <w:sz w:val="22"/>
      <w:szCs w:val="22"/>
    </w:rPr>
  </w:style>
  <w:style w:type="paragraph" w:styleId="BodyText">
    <w:name w:val="Body Text"/>
    <w:basedOn w:val="Normal"/>
    <w:link w:val="BodyTextChar"/>
    <w:rsid w:val="000A4750"/>
    <w:pPr>
      <w:spacing w:line="480" w:lineRule="auto"/>
      <w:jc w:val="both"/>
    </w:pPr>
    <w:rPr>
      <w:rFonts w:ascii="Times New Roman" w:eastAsia="Times New Roman" w:hAnsi="Times New Roman"/>
    </w:rPr>
  </w:style>
  <w:style w:type="character" w:customStyle="1" w:styleId="BodyTextChar">
    <w:name w:val="Body Text Char"/>
    <w:basedOn w:val="DefaultParagraphFont"/>
    <w:link w:val="BodyText"/>
    <w:rsid w:val="000A4750"/>
    <w:rPr>
      <w:rFonts w:eastAsia="Times New Roman"/>
    </w:rPr>
  </w:style>
  <w:style w:type="paragraph" w:styleId="Header">
    <w:name w:val="header"/>
    <w:basedOn w:val="Normal"/>
    <w:link w:val="HeaderChar"/>
    <w:uiPriority w:val="99"/>
    <w:unhideWhenUsed/>
    <w:rsid w:val="00C07EBA"/>
    <w:pPr>
      <w:tabs>
        <w:tab w:val="center" w:pos="4680"/>
        <w:tab w:val="right" w:pos="9360"/>
      </w:tabs>
    </w:pPr>
  </w:style>
  <w:style w:type="character" w:customStyle="1" w:styleId="HeaderChar">
    <w:name w:val="Header Char"/>
    <w:basedOn w:val="DefaultParagraphFont"/>
    <w:link w:val="Header"/>
    <w:uiPriority w:val="99"/>
    <w:rsid w:val="00C07EBA"/>
    <w:rPr>
      <w:rFonts w:ascii="Calibri" w:eastAsia="Calibri" w:hAnsi="Calibri"/>
    </w:rPr>
  </w:style>
  <w:style w:type="paragraph" w:styleId="Footer">
    <w:name w:val="footer"/>
    <w:basedOn w:val="Normal"/>
    <w:link w:val="FooterChar"/>
    <w:uiPriority w:val="99"/>
    <w:unhideWhenUsed/>
    <w:rsid w:val="00C07EBA"/>
    <w:pPr>
      <w:tabs>
        <w:tab w:val="center" w:pos="4680"/>
        <w:tab w:val="right" w:pos="9360"/>
      </w:tabs>
    </w:pPr>
  </w:style>
  <w:style w:type="character" w:customStyle="1" w:styleId="FooterChar">
    <w:name w:val="Footer Char"/>
    <w:basedOn w:val="DefaultParagraphFont"/>
    <w:link w:val="Footer"/>
    <w:uiPriority w:val="99"/>
    <w:rsid w:val="00C07EBA"/>
    <w:rPr>
      <w:rFonts w:ascii="Calibri" w:eastAsia="Calibri" w:hAnsi="Calibri"/>
    </w:rPr>
  </w:style>
  <w:style w:type="paragraph" w:styleId="BalloonText">
    <w:name w:val="Balloon Text"/>
    <w:basedOn w:val="Normal"/>
    <w:link w:val="BalloonTextChar"/>
    <w:uiPriority w:val="99"/>
    <w:semiHidden/>
    <w:unhideWhenUsed/>
    <w:rsid w:val="00C07EBA"/>
    <w:rPr>
      <w:rFonts w:ascii="Tahoma" w:hAnsi="Tahoma" w:cs="Tahoma"/>
      <w:sz w:val="16"/>
      <w:szCs w:val="16"/>
    </w:rPr>
  </w:style>
  <w:style w:type="character" w:customStyle="1" w:styleId="BalloonTextChar">
    <w:name w:val="Balloon Text Char"/>
    <w:basedOn w:val="DefaultParagraphFont"/>
    <w:link w:val="BalloonText"/>
    <w:uiPriority w:val="99"/>
    <w:semiHidden/>
    <w:rsid w:val="00C07EB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1089</Words>
  <Characters>6212</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NJ Department of Community Affairs</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John</dc:creator>
  <cp:lastModifiedBy>dawn</cp:lastModifiedBy>
  <cp:revision>2</cp:revision>
  <cp:lastPrinted>2015-08-25T19:29:00Z</cp:lastPrinted>
  <dcterms:created xsi:type="dcterms:W3CDTF">2015-10-05T19:00:00Z</dcterms:created>
  <dcterms:modified xsi:type="dcterms:W3CDTF">2015-10-05T19:00:00Z</dcterms:modified>
</cp:coreProperties>
</file>